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D9" w:rsidRPr="004F5DD9" w:rsidRDefault="00BB030F" w:rsidP="00F100CD">
      <w:pPr>
        <w:spacing w:after="0"/>
        <w:jc w:val="center"/>
        <w:rPr>
          <w:b/>
          <w:u w:val="single"/>
        </w:rPr>
      </w:pPr>
      <w:r w:rsidRPr="004F5DD9">
        <w:rPr>
          <w:b/>
          <w:u w:val="single"/>
        </w:rPr>
        <w:t>TARIFAS CONVENIO V.06/2019</w:t>
      </w:r>
    </w:p>
    <w:p w:rsidR="00BA05C7" w:rsidRDefault="00BB030F" w:rsidP="00F100CD">
      <w:pPr>
        <w:spacing w:after="0"/>
        <w:jc w:val="center"/>
        <w:rPr>
          <w:b/>
          <w:sz w:val="20"/>
          <w:szCs w:val="20"/>
        </w:rPr>
      </w:pPr>
      <w:r w:rsidRPr="004F5DD9">
        <w:rPr>
          <w:b/>
          <w:sz w:val="20"/>
          <w:szCs w:val="20"/>
        </w:rPr>
        <w:t>MAYORISTA, U$D Dólares*</w:t>
      </w:r>
    </w:p>
    <w:p w:rsidR="00F100CD" w:rsidRPr="00F100CD" w:rsidRDefault="00F100CD" w:rsidP="00F100CD">
      <w:pPr>
        <w:spacing w:after="0"/>
        <w:jc w:val="center"/>
        <w:rPr>
          <w:b/>
          <w:sz w:val="20"/>
          <w:szCs w:val="20"/>
        </w:rPr>
      </w:pPr>
    </w:p>
    <w:tbl>
      <w:tblPr>
        <w:tblStyle w:val="Tablaconcuadrcula"/>
        <w:tblW w:w="9952" w:type="dxa"/>
        <w:tblInd w:w="435" w:type="dxa"/>
        <w:tblLayout w:type="fixed"/>
        <w:tblLook w:val="04A0" w:firstRow="1" w:lastRow="0" w:firstColumn="1" w:lastColumn="0" w:noHBand="0" w:noVBand="1"/>
      </w:tblPr>
      <w:tblGrid>
        <w:gridCol w:w="537"/>
        <w:gridCol w:w="2700"/>
        <w:gridCol w:w="903"/>
        <w:gridCol w:w="940"/>
        <w:gridCol w:w="992"/>
        <w:gridCol w:w="992"/>
        <w:gridCol w:w="993"/>
        <w:gridCol w:w="992"/>
        <w:gridCol w:w="903"/>
      </w:tblGrid>
      <w:tr w:rsidR="004F5DD9" w:rsidTr="00F100CD">
        <w:tc>
          <w:tcPr>
            <w:tcW w:w="537" w:type="dxa"/>
            <w:shd w:val="clear" w:color="auto" w:fill="A6A6A6" w:themeFill="background1" w:themeFillShade="A6"/>
          </w:tcPr>
          <w:p w:rsidR="004F5DD9" w:rsidRDefault="004F5DD9" w:rsidP="004F5DD9">
            <w:pPr>
              <w:jc w:val="center"/>
              <w:rPr>
                <w:b/>
                <w:sz w:val="20"/>
                <w:szCs w:val="20"/>
              </w:rPr>
            </w:pPr>
          </w:p>
          <w:p w:rsidR="00BA05C7" w:rsidRPr="004F5DD9" w:rsidRDefault="00BA05C7" w:rsidP="004F5DD9">
            <w:pPr>
              <w:rPr>
                <w:b/>
                <w:sz w:val="20"/>
                <w:szCs w:val="20"/>
              </w:rPr>
            </w:pPr>
            <w:proofErr w:type="spellStart"/>
            <w:r w:rsidRPr="004F5DD9">
              <w:rPr>
                <w:b/>
                <w:sz w:val="20"/>
                <w:szCs w:val="20"/>
              </w:rPr>
              <w:t>Pax</w:t>
            </w:r>
            <w:proofErr w:type="spellEnd"/>
          </w:p>
        </w:tc>
        <w:tc>
          <w:tcPr>
            <w:tcW w:w="2700" w:type="dxa"/>
            <w:shd w:val="clear" w:color="auto" w:fill="A6A6A6" w:themeFill="background1" w:themeFillShade="A6"/>
          </w:tcPr>
          <w:p w:rsidR="004F5DD9" w:rsidRDefault="004F5DD9" w:rsidP="004F5DD9">
            <w:pPr>
              <w:jc w:val="center"/>
              <w:rPr>
                <w:b/>
                <w:sz w:val="20"/>
                <w:szCs w:val="20"/>
              </w:rPr>
            </w:pPr>
          </w:p>
          <w:p w:rsidR="00BA05C7" w:rsidRPr="004F5DD9" w:rsidRDefault="00BA05C7" w:rsidP="004F5DD9">
            <w:pPr>
              <w:rPr>
                <w:b/>
                <w:sz w:val="20"/>
                <w:szCs w:val="20"/>
              </w:rPr>
            </w:pPr>
            <w:r w:rsidRPr="004F5DD9">
              <w:rPr>
                <w:b/>
                <w:sz w:val="20"/>
                <w:szCs w:val="20"/>
              </w:rPr>
              <w:t>UNIDADES</w:t>
            </w:r>
          </w:p>
        </w:tc>
        <w:tc>
          <w:tcPr>
            <w:tcW w:w="903" w:type="dxa"/>
            <w:shd w:val="clear" w:color="auto" w:fill="A6A6A6" w:themeFill="background1" w:themeFillShade="A6"/>
          </w:tcPr>
          <w:p w:rsidR="00BA05C7" w:rsidRPr="00BA05C7" w:rsidRDefault="00BA05C7" w:rsidP="004F5DD9">
            <w:pPr>
              <w:jc w:val="center"/>
              <w:rPr>
                <w:sz w:val="18"/>
                <w:szCs w:val="18"/>
              </w:rPr>
            </w:pPr>
            <w:r w:rsidRPr="00BA05C7">
              <w:rPr>
                <w:sz w:val="18"/>
                <w:szCs w:val="18"/>
              </w:rPr>
              <w:t>01/06/19 al 28/06/19</w:t>
            </w:r>
          </w:p>
        </w:tc>
        <w:tc>
          <w:tcPr>
            <w:tcW w:w="940" w:type="dxa"/>
            <w:shd w:val="clear" w:color="auto" w:fill="A6A6A6" w:themeFill="background1" w:themeFillShade="A6"/>
          </w:tcPr>
          <w:p w:rsidR="00BA05C7" w:rsidRPr="00BA05C7" w:rsidRDefault="00BA05C7" w:rsidP="004F5DD9">
            <w:pPr>
              <w:jc w:val="center"/>
              <w:rPr>
                <w:sz w:val="18"/>
                <w:szCs w:val="18"/>
              </w:rPr>
            </w:pPr>
            <w:r w:rsidRPr="00BA05C7">
              <w:rPr>
                <w:sz w:val="18"/>
                <w:szCs w:val="18"/>
              </w:rPr>
              <w:t>29/06/19 al 11/07/19</w:t>
            </w:r>
          </w:p>
        </w:tc>
        <w:tc>
          <w:tcPr>
            <w:tcW w:w="992" w:type="dxa"/>
            <w:shd w:val="clear" w:color="auto" w:fill="A6A6A6" w:themeFill="background1" w:themeFillShade="A6"/>
          </w:tcPr>
          <w:p w:rsidR="00BA05C7" w:rsidRPr="00BA05C7" w:rsidRDefault="00BA05C7" w:rsidP="004F5DD9">
            <w:pPr>
              <w:jc w:val="center"/>
              <w:rPr>
                <w:sz w:val="18"/>
                <w:szCs w:val="18"/>
              </w:rPr>
            </w:pPr>
            <w:r w:rsidRPr="00BA05C7">
              <w:rPr>
                <w:sz w:val="18"/>
                <w:szCs w:val="18"/>
              </w:rPr>
              <w:t>12/07/19 al 02/08/19</w:t>
            </w:r>
          </w:p>
        </w:tc>
        <w:tc>
          <w:tcPr>
            <w:tcW w:w="992" w:type="dxa"/>
            <w:shd w:val="clear" w:color="auto" w:fill="A6A6A6" w:themeFill="background1" w:themeFillShade="A6"/>
          </w:tcPr>
          <w:p w:rsidR="00BA05C7" w:rsidRPr="00BA05C7" w:rsidRDefault="00BA05C7" w:rsidP="004F5DD9">
            <w:pPr>
              <w:jc w:val="center"/>
              <w:rPr>
                <w:sz w:val="18"/>
                <w:szCs w:val="18"/>
              </w:rPr>
            </w:pPr>
            <w:r w:rsidRPr="00BA05C7">
              <w:rPr>
                <w:sz w:val="18"/>
                <w:szCs w:val="18"/>
              </w:rPr>
              <w:t>03/08/19 al 17/08/19</w:t>
            </w:r>
          </w:p>
        </w:tc>
        <w:tc>
          <w:tcPr>
            <w:tcW w:w="993" w:type="dxa"/>
            <w:shd w:val="clear" w:color="auto" w:fill="A6A6A6" w:themeFill="background1" w:themeFillShade="A6"/>
          </w:tcPr>
          <w:p w:rsidR="00BA05C7" w:rsidRPr="00BA05C7" w:rsidRDefault="00BA05C7" w:rsidP="004F5DD9">
            <w:pPr>
              <w:jc w:val="center"/>
              <w:rPr>
                <w:sz w:val="18"/>
                <w:szCs w:val="18"/>
              </w:rPr>
            </w:pPr>
            <w:r w:rsidRPr="00BA05C7">
              <w:rPr>
                <w:sz w:val="18"/>
                <w:szCs w:val="18"/>
              </w:rPr>
              <w:t>18/08/19 al 15/09/19</w:t>
            </w:r>
          </w:p>
        </w:tc>
        <w:tc>
          <w:tcPr>
            <w:tcW w:w="992" w:type="dxa"/>
            <w:shd w:val="clear" w:color="auto" w:fill="A6A6A6" w:themeFill="background1" w:themeFillShade="A6"/>
          </w:tcPr>
          <w:p w:rsidR="00BA05C7" w:rsidRPr="00BA05C7" w:rsidRDefault="00BA05C7" w:rsidP="004F5DD9">
            <w:pPr>
              <w:tabs>
                <w:tab w:val="left" w:pos="237"/>
              </w:tabs>
              <w:jc w:val="center"/>
              <w:rPr>
                <w:sz w:val="18"/>
                <w:szCs w:val="18"/>
              </w:rPr>
            </w:pPr>
            <w:r w:rsidRPr="00BA05C7">
              <w:rPr>
                <w:sz w:val="18"/>
                <w:szCs w:val="18"/>
              </w:rPr>
              <w:t>16/09/19 al 19/12/19</w:t>
            </w:r>
          </w:p>
        </w:tc>
        <w:tc>
          <w:tcPr>
            <w:tcW w:w="903" w:type="dxa"/>
            <w:shd w:val="clear" w:color="auto" w:fill="A6A6A6" w:themeFill="background1" w:themeFillShade="A6"/>
          </w:tcPr>
          <w:p w:rsidR="00BA05C7" w:rsidRPr="00BA05C7" w:rsidRDefault="00BA05C7" w:rsidP="004F5DD9">
            <w:pPr>
              <w:jc w:val="center"/>
              <w:rPr>
                <w:sz w:val="18"/>
                <w:szCs w:val="18"/>
              </w:rPr>
            </w:pPr>
            <w:r w:rsidRPr="00BA05C7">
              <w:rPr>
                <w:sz w:val="18"/>
                <w:szCs w:val="18"/>
              </w:rPr>
              <w:t>20/12/19 al 04/01/2</w:t>
            </w:r>
            <w:r w:rsidRPr="00BA05C7">
              <w:rPr>
                <w:sz w:val="18"/>
                <w:szCs w:val="18"/>
              </w:rPr>
              <w:t>0</w:t>
            </w:r>
          </w:p>
        </w:tc>
      </w:tr>
      <w:tr w:rsidR="00BA05C7" w:rsidTr="00F100CD">
        <w:trPr>
          <w:trHeight w:val="326"/>
        </w:trPr>
        <w:tc>
          <w:tcPr>
            <w:tcW w:w="537" w:type="dxa"/>
          </w:tcPr>
          <w:p w:rsidR="00BA05C7" w:rsidRPr="00BA05C7" w:rsidRDefault="00BA05C7" w:rsidP="00BB030F">
            <w:pPr>
              <w:jc w:val="center"/>
              <w:rPr>
                <w:sz w:val="18"/>
                <w:szCs w:val="18"/>
              </w:rPr>
            </w:pPr>
            <w:r w:rsidRPr="00BA05C7">
              <w:rPr>
                <w:sz w:val="18"/>
                <w:szCs w:val="18"/>
              </w:rPr>
              <w:t>1-2</w:t>
            </w:r>
          </w:p>
        </w:tc>
        <w:tc>
          <w:tcPr>
            <w:tcW w:w="2700" w:type="dxa"/>
          </w:tcPr>
          <w:p w:rsidR="00BA05C7" w:rsidRPr="00BA05C7" w:rsidRDefault="00BA05C7" w:rsidP="00BB030F">
            <w:pPr>
              <w:jc w:val="center"/>
              <w:rPr>
                <w:sz w:val="18"/>
                <w:szCs w:val="18"/>
              </w:rPr>
            </w:pPr>
            <w:r w:rsidRPr="00BA05C7">
              <w:rPr>
                <w:sz w:val="18"/>
                <w:szCs w:val="18"/>
              </w:rPr>
              <w:t>Habitación Doble (4 noches máx.)</w:t>
            </w:r>
          </w:p>
        </w:tc>
        <w:tc>
          <w:tcPr>
            <w:tcW w:w="903" w:type="dxa"/>
          </w:tcPr>
          <w:p w:rsidR="00BA05C7" w:rsidRPr="00BA05C7" w:rsidRDefault="004F5DD9" w:rsidP="00BB030F">
            <w:pPr>
              <w:jc w:val="center"/>
              <w:rPr>
                <w:sz w:val="18"/>
                <w:szCs w:val="18"/>
              </w:rPr>
            </w:pPr>
            <w:r>
              <w:rPr>
                <w:sz w:val="18"/>
                <w:szCs w:val="18"/>
              </w:rPr>
              <w:t>50</w:t>
            </w:r>
          </w:p>
        </w:tc>
        <w:tc>
          <w:tcPr>
            <w:tcW w:w="940" w:type="dxa"/>
          </w:tcPr>
          <w:p w:rsidR="00BA05C7" w:rsidRPr="00BA05C7" w:rsidRDefault="004F5DD9" w:rsidP="00BB030F">
            <w:pPr>
              <w:jc w:val="center"/>
              <w:rPr>
                <w:sz w:val="18"/>
                <w:szCs w:val="18"/>
              </w:rPr>
            </w:pPr>
            <w:r>
              <w:rPr>
                <w:sz w:val="18"/>
                <w:szCs w:val="18"/>
              </w:rPr>
              <w:t>75</w:t>
            </w:r>
          </w:p>
        </w:tc>
        <w:tc>
          <w:tcPr>
            <w:tcW w:w="992" w:type="dxa"/>
          </w:tcPr>
          <w:p w:rsidR="00BA05C7" w:rsidRPr="00BA05C7" w:rsidRDefault="004F5DD9" w:rsidP="00BB030F">
            <w:pPr>
              <w:jc w:val="center"/>
              <w:rPr>
                <w:sz w:val="18"/>
                <w:szCs w:val="18"/>
              </w:rPr>
            </w:pPr>
            <w:r>
              <w:rPr>
                <w:sz w:val="18"/>
                <w:szCs w:val="18"/>
              </w:rPr>
              <w:t>120</w:t>
            </w:r>
          </w:p>
        </w:tc>
        <w:tc>
          <w:tcPr>
            <w:tcW w:w="992" w:type="dxa"/>
          </w:tcPr>
          <w:p w:rsidR="00BA05C7" w:rsidRPr="00BA05C7" w:rsidRDefault="004F5DD9" w:rsidP="00BB030F">
            <w:pPr>
              <w:jc w:val="center"/>
              <w:rPr>
                <w:sz w:val="18"/>
                <w:szCs w:val="18"/>
              </w:rPr>
            </w:pPr>
            <w:r>
              <w:rPr>
                <w:sz w:val="18"/>
                <w:szCs w:val="18"/>
              </w:rPr>
              <w:t>85</w:t>
            </w:r>
          </w:p>
        </w:tc>
        <w:tc>
          <w:tcPr>
            <w:tcW w:w="993" w:type="dxa"/>
          </w:tcPr>
          <w:p w:rsidR="00BA05C7" w:rsidRPr="00BA05C7" w:rsidRDefault="004F5DD9" w:rsidP="00BB030F">
            <w:pPr>
              <w:jc w:val="center"/>
              <w:rPr>
                <w:sz w:val="18"/>
                <w:szCs w:val="18"/>
              </w:rPr>
            </w:pPr>
            <w:r>
              <w:rPr>
                <w:sz w:val="18"/>
                <w:szCs w:val="18"/>
              </w:rPr>
              <w:t>60</w:t>
            </w:r>
          </w:p>
        </w:tc>
        <w:tc>
          <w:tcPr>
            <w:tcW w:w="992" w:type="dxa"/>
          </w:tcPr>
          <w:p w:rsidR="00BA05C7" w:rsidRPr="00BA05C7" w:rsidRDefault="004F5DD9" w:rsidP="00BB030F">
            <w:pPr>
              <w:jc w:val="center"/>
              <w:rPr>
                <w:sz w:val="18"/>
                <w:szCs w:val="18"/>
              </w:rPr>
            </w:pPr>
            <w:r>
              <w:rPr>
                <w:sz w:val="18"/>
                <w:szCs w:val="18"/>
              </w:rPr>
              <w:t>55</w:t>
            </w:r>
          </w:p>
        </w:tc>
        <w:tc>
          <w:tcPr>
            <w:tcW w:w="903" w:type="dxa"/>
          </w:tcPr>
          <w:p w:rsidR="00BA05C7" w:rsidRPr="00BA05C7" w:rsidRDefault="004F5DD9" w:rsidP="00BB030F">
            <w:pPr>
              <w:jc w:val="center"/>
              <w:rPr>
                <w:sz w:val="18"/>
                <w:szCs w:val="18"/>
              </w:rPr>
            </w:pPr>
            <w:r>
              <w:rPr>
                <w:sz w:val="18"/>
                <w:szCs w:val="18"/>
              </w:rPr>
              <w:t>68</w:t>
            </w:r>
          </w:p>
        </w:tc>
      </w:tr>
      <w:tr w:rsidR="00BA05C7" w:rsidTr="00F100CD">
        <w:trPr>
          <w:trHeight w:val="287"/>
        </w:trPr>
        <w:tc>
          <w:tcPr>
            <w:tcW w:w="537" w:type="dxa"/>
          </w:tcPr>
          <w:p w:rsidR="00BA05C7" w:rsidRPr="00BA05C7" w:rsidRDefault="00BA05C7" w:rsidP="00BB030F">
            <w:pPr>
              <w:jc w:val="center"/>
              <w:rPr>
                <w:sz w:val="18"/>
                <w:szCs w:val="18"/>
              </w:rPr>
            </w:pPr>
            <w:r w:rsidRPr="00BA05C7">
              <w:rPr>
                <w:sz w:val="18"/>
                <w:szCs w:val="18"/>
              </w:rPr>
              <w:t>1-5</w:t>
            </w:r>
          </w:p>
        </w:tc>
        <w:tc>
          <w:tcPr>
            <w:tcW w:w="2700" w:type="dxa"/>
          </w:tcPr>
          <w:p w:rsidR="00BA05C7" w:rsidRPr="00BA05C7" w:rsidRDefault="004F5DD9" w:rsidP="00BB030F">
            <w:pPr>
              <w:jc w:val="center"/>
              <w:rPr>
                <w:sz w:val="18"/>
                <w:szCs w:val="18"/>
              </w:rPr>
            </w:pPr>
            <w:r w:rsidRPr="004F5DD9">
              <w:rPr>
                <w:sz w:val="18"/>
                <w:szCs w:val="18"/>
              </w:rPr>
              <w:t>Departamento de 1 dormitorio</w:t>
            </w:r>
          </w:p>
        </w:tc>
        <w:tc>
          <w:tcPr>
            <w:tcW w:w="903" w:type="dxa"/>
          </w:tcPr>
          <w:p w:rsidR="00BA05C7" w:rsidRPr="00BA05C7" w:rsidRDefault="004F5DD9" w:rsidP="00BB030F">
            <w:pPr>
              <w:jc w:val="center"/>
              <w:rPr>
                <w:sz w:val="18"/>
                <w:szCs w:val="18"/>
              </w:rPr>
            </w:pPr>
            <w:r>
              <w:rPr>
                <w:sz w:val="18"/>
                <w:szCs w:val="18"/>
              </w:rPr>
              <w:t>90</w:t>
            </w:r>
          </w:p>
        </w:tc>
        <w:tc>
          <w:tcPr>
            <w:tcW w:w="940" w:type="dxa"/>
          </w:tcPr>
          <w:p w:rsidR="00BA05C7" w:rsidRPr="00BA05C7" w:rsidRDefault="004F5DD9" w:rsidP="00BB030F">
            <w:pPr>
              <w:jc w:val="center"/>
              <w:rPr>
                <w:sz w:val="18"/>
                <w:szCs w:val="18"/>
              </w:rPr>
            </w:pPr>
            <w:r>
              <w:rPr>
                <w:sz w:val="18"/>
                <w:szCs w:val="18"/>
              </w:rPr>
              <w:t>120</w:t>
            </w:r>
          </w:p>
        </w:tc>
        <w:tc>
          <w:tcPr>
            <w:tcW w:w="992" w:type="dxa"/>
          </w:tcPr>
          <w:p w:rsidR="00BA05C7" w:rsidRPr="00BA05C7" w:rsidRDefault="004F5DD9" w:rsidP="00BB030F">
            <w:pPr>
              <w:jc w:val="center"/>
              <w:rPr>
                <w:sz w:val="18"/>
                <w:szCs w:val="18"/>
              </w:rPr>
            </w:pPr>
            <w:r>
              <w:rPr>
                <w:sz w:val="18"/>
                <w:szCs w:val="18"/>
              </w:rPr>
              <w:t>180</w:t>
            </w:r>
          </w:p>
        </w:tc>
        <w:tc>
          <w:tcPr>
            <w:tcW w:w="992" w:type="dxa"/>
          </w:tcPr>
          <w:p w:rsidR="00BA05C7" w:rsidRPr="00BA05C7" w:rsidRDefault="004F5DD9" w:rsidP="00BB030F">
            <w:pPr>
              <w:jc w:val="center"/>
              <w:rPr>
                <w:sz w:val="18"/>
                <w:szCs w:val="18"/>
              </w:rPr>
            </w:pPr>
            <w:r>
              <w:rPr>
                <w:sz w:val="18"/>
                <w:szCs w:val="18"/>
              </w:rPr>
              <w:t>135</w:t>
            </w:r>
          </w:p>
        </w:tc>
        <w:tc>
          <w:tcPr>
            <w:tcW w:w="993" w:type="dxa"/>
          </w:tcPr>
          <w:p w:rsidR="00BA05C7" w:rsidRPr="00BA05C7" w:rsidRDefault="004F5DD9" w:rsidP="00BB030F">
            <w:pPr>
              <w:jc w:val="center"/>
              <w:rPr>
                <w:sz w:val="18"/>
                <w:szCs w:val="18"/>
              </w:rPr>
            </w:pPr>
            <w:r>
              <w:rPr>
                <w:sz w:val="18"/>
                <w:szCs w:val="18"/>
              </w:rPr>
              <w:t>100</w:t>
            </w:r>
          </w:p>
        </w:tc>
        <w:tc>
          <w:tcPr>
            <w:tcW w:w="992" w:type="dxa"/>
          </w:tcPr>
          <w:p w:rsidR="00BA05C7" w:rsidRPr="00BA05C7" w:rsidRDefault="004F5DD9" w:rsidP="00BB030F">
            <w:pPr>
              <w:jc w:val="center"/>
              <w:rPr>
                <w:sz w:val="18"/>
                <w:szCs w:val="18"/>
              </w:rPr>
            </w:pPr>
            <w:r>
              <w:rPr>
                <w:sz w:val="18"/>
                <w:szCs w:val="18"/>
              </w:rPr>
              <w:t>95</w:t>
            </w:r>
          </w:p>
        </w:tc>
        <w:tc>
          <w:tcPr>
            <w:tcW w:w="903" w:type="dxa"/>
          </w:tcPr>
          <w:p w:rsidR="00BA05C7" w:rsidRPr="00BA05C7" w:rsidRDefault="004F5DD9" w:rsidP="00BB030F">
            <w:pPr>
              <w:jc w:val="center"/>
              <w:rPr>
                <w:sz w:val="18"/>
                <w:szCs w:val="18"/>
              </w:rPr>
            </w:pPr>
            <w:r>
              <w:rPr>
                <w:sz w:val="18"/>
                <w:szCs w:val="18"/>
              </w:rPr>
              <w:t>110</w:t>
            </w:r>
          </w:p>
        </w:tc>
      </w:tr>
      <w:tr w:rsidR="00BA05C7" w:rsidTr="00F100CD">
        <w:trPr>
          <w:trHeight w:val="406"/>
        </w:trPr>
        <w:tc>
          <w:tcPr>
            <w:tcW w:w="537" w:type="dxa"/>
          </w:tcPr>
          <w:p w:rsidR="00BA05C7" w:rsidRPr="00BA05C7" w:rsidRDefault="00BA05C7" w:rsidP="00BB030F">
            <w:pPr>
              <w:jc w:val="center"/>
              <w:rPr>
                <w:sz w:val="18"/>
                <w:szCs w:val="18"/>
              </w:rPr>
            </w:pPr>
            <w:r w:rsidRPr="00BA05C7">
              <w:rPr>
                <w:sz w:val="18"/>
                <w:szCs w:val="18"/>
              </w:rPr>
              <w:t>2-7</w:t>
            </w:r>
          </w:p>
        </w:tc>
        <w:tc>
          <w:tcPr>
            <w:tcW w:w="2700" w:type="dxa"/>
          </w:tcPr>
          <w:p w:rsidR="00BA05C7" w:rsidRPr="00BA05C7" w:rsidRDefault="004F5DD9" w:rsidP="00BB030F">
            <w:pPr>
              <w:jc w:val="center"/>
              <w:rPr>
                <w:sz w:val="18"/>
                <w:szCs w:val="18"/>
              </w:rPr>
            </w:pPr>
            <w:r w:rsidRPr="004F5DD9">
              <w:rPr>
                <w:sz w:val="18"/>
                <w:szCs w:val="18"/>
              </w:rPr>
              <w:t>Departamento de 2 dormitorios</w:t>
            </w:r>
          </w:p>
        </w:tc>
        <w:tc>
          <w:tcPr>
            <w:tcW w:w="903" w:type="dxa"/>
          </w:tcPr>
          <w:p w:rsidR="00BA05C7" w:rsidRPr="00BA05C7" w:rsidRDefault="004F5DD9" w:rsidP="00BB030F">
            <w:pPr>
              <w:jc w:val="center"/>
              <w:rPr>
                <w:sz w:val="18"/>
                <w:szCs w:val="18"/>
              </w:rPr>
            </w:pPr>
            <w:r>
              <w:rPr>
                <w:sz w:val="18"/>
                <w:szCs w:val="18"/>
              </w:rPr>
              <w:t>125</w:t>
            </w:r>
          </w:p>
        </w:tc>
        <w:tc>
          <w:tcPr>
            <w:tcW w:w="940" w:type="dxa"/>
          </w:tcPr>
          <w:p w:rsidR="00BA05C7" w:rsidRPr="00BA05C7" w:rsidRDefault="004F5DD9" w:rsidP="00BB030F">
            <w:pPr>
              <w:jc w:val="center"/>
              <w:rPr>
                <w:sz w:val="18"/>
                <w:szCs w:val="18"/>
              </w:rPr>
            </w:pPr>
            <w:r>
              <w:rPr>
                <w:sz w:val="18"/>
                <w:szCs w:val="18"/>
              </w:rPr>
              <w:t>170</w:t>
            </w:r>
          </w:p>
        </w:tc>
        <w:tc>
          <w:tcPr>
            <w:tcW w:w="992" w:type="dxa"/>
          </w:tcPr>
          <w:p w:rsidR="00BA05C7" w:rsidRPr="00BA05C7" w:rsidRDefault="004F5DD9" w:rsidP="00BB030F">
            <w:pPr>
              <w:jc w:val="center"/>
              <w:rPr>
                <w:sz w:val="18"/>
                <w:szCs w:val="18"/>
              </w:rPr>
            </w:pPr>
            <w:r>
              <w:rPr>
                <w:sz w:val="18"/>
                <w:szCs w:val="18"/>
              </w:rPr>
              <w:t>240</w:t>
            </w:r>
          </w:p>
        </w:tc>
        <w:tc>
          <w:tcPr>
            <w:tcW w:w="992" w:type="dxa"/>
          </w:tcPr>
          <w:p w:rsidR="00BA05C7" w:rsidRPr="00BA05C7" w:rsidRDefault="004F5DD9" w:rsidP="00BB030F">
            <w:pPr>
              <w:jc w:val="center"/>
              <w:rPr>
                <w:sz w:val="18"/>
                <w:szCs w:val="18"/>
              </w:rPr>
            </w:pPr>
            <w:r>
              <w:rPr>
                <w:sz w:val="18"/>
                <w:szCs w:val="18"/>
              </w:rPr>
              <w:t>180</w:t>
            </w:r>
          </w:p>
        </w:tc>
        <w:tc>
          <w:tcPr>
            <w:tcW w:w="993" w:type="dxa"/>
          </w:tcPr>
          <w:p w:rsidR="00BA05C7" w:rsidRPr="00BA05C7" w:rsidRDefault="004F5DD9" w:rsidP="00BB030F">
            <w:pPr>
              <w:jc w:val="center"/>
              <w:rPr>
                <w:sz w:val="18"/>
                <w:szCs w:val="18"/>
              </w:rPr>
            </w:pPr>
            <w:r>
              <w:rPr>
                <w:sz w:val="18"/>
                <w:szCs w:val="18"/>
              </w:rPr>
              <w:t>140</w:t>
            </w:r>
          </w:p>
        </w:tc>
        <w:tc>
          <w:tcPr>
            <w:tcW w:w="992" w:type="dxa"/>
          </w:tcPr>
          <w:p w:rsidR="00BA05C7" w:rsidRPr="00BA05C7" w:rsidRDefault="004F5DD9" w:rsidP="00BB030F">
            <w:pPr>
              <w:jc w:val="center"/>
              <w:rPr>
                <w:sz w:val="18"/>
                <w:szCs w:val="18"/>
              </w:rPr>
            </w:pPr>
            <w:r>
              <w:rPr>
                <w:sz w:val="18"/>
                <w:szCs w:val="18"/>
              </w:rPr>
              <w:t>130</w:t>
            </w:r>
          </w:p>
        </w:tc>
        <w:tc>
          <w:tcPr>
            <w:tcW w:w="903" w:type="dxa"/>
          </w:tcPr>
          <w:p w:rsidR="00BA05C7" w:rsidRPr="00BA05C7" w:rsidRDefault="004F5DD9" w:rsidP="00BB030F">
            <w:pPr>
              <w:jc w:val="center"/>
              <w:rPr>
                <w:sz w:val="18"/>
                <w:szCs w:val="18"/>
              </w:rPr>
            </w:pPr>
            <w:r>
              <w:rPr>
                <w:sz w:val="18"/>
                <w:szCs w:val="18"/>
              </w:rPr>
              <w:t>155</w:t>
            </w:r>
          </w:p>
        </w:tc>
      </w:tr>
    </w:tbl>
    <w:p w:rsidR="004F5DD9" w:rsidRPr="00416945" w:rsidRDefault="004F5DD9" w:rsidP="00F100CD">
      <w:pPr>
        <w:spacing w:before="240" w:after="0"/>
        <w:ind w:left="142" w:right="27"/>
        <w:jc w:val="both"/>
        <w:rPr>
          <w:sz w:val="20"/>
          <w:szCs w:val="20"/>
        </w:rPr>
      </w:pPr>
      <w:r w:rsidRPr="00416945">
        <w:rPr>
          <w:sz w:val="20"/>
          <w:szCs w:val="20"/>
        </w:rPr>
        <w:t>*Tarifas expresadas por noche, por habitación, netas de comisión, no incluyen IVA (21%) No aplica a grupos. Sujetas a modificaciones previa notificación por escrito, respetando las ventas realizadas con anterioridad.</w:t>
      </w:r>
    </w:p>
    <w:p w:rsidR="004F5DD9" w:rsidRPr="00416945" w:rsidRDefault="004F5DD9" w:rsidP="00F100CD">
      <w:pPr>
        <w:spacing w:before="240" w:after="0"/>
        <w:ind w:left="142" w:right="27"/>
        <w:jc w:val="both"/>
        <w:rPr>
          <w:sz w:val="20"/>
          <w:szCs w:val="20"/>
        </w:rPr>
      </w:pPr>
      <w:r w:rsidRPr="00416945">
        <w:rPr>
          <w:b/>
          <w:sz w:val="20"/>
          <w:szCs w:val="20"/>
        </w:rPr>
        <w:t>DESCRIPCIÓN de las UNIDADES</w:t>
      </w:r>
      <w:r w:rsidRPr="00416945">
        <w:rPr>
          <w:sz w:val="20"/>
          <w:szCs w:val="20"/>
        </w:rPr>
        <w:t xml:space="preserve">: </w:t>
      </w:r>
    </w:p>
    <w:p w:rsidR="00416945" w:rsidRPr="00F100CD" w:rsidRDefault="004F5DD9" w:rsidP="00F100CD">
      <w:pPr>
        <w:pStyle w:val="Prrafodelista"/>
        <w:numPr>
          <w:ilvl w:val="0"/>
          <w:numId w:val="7"/>
        </w:numPr>
        <w:spacing w:before="240" w:after="0"/>
        <w:ind w:right="27"/>
        <w:jc w:val="both"/>
        <w:rPr>
          <w:sz w:val="20"/>
          <w:szCs w:val="20"/>
        </w:rPr>
      </w:pPr>
      <w:r w:rsidRPr="00F100CD">
        <w:rPr>
          <w:b/>
          <w:sz w:val="20"/>
          <w:szCs w:val="20"/>
        </w:rPr>
        <w:t>Habitación Doble</w:t>
      </w:r>
      <w:r w:rsidRPr="00F100CD">
        <w:rPr>
          <w:sz w:val="20"/>
          <w:szCs w:val="20"/>
        </w:rPr>
        <w:t xml:space="preserve">: (capacidad hasta 2 personas) </w:t>
      </w:r>
      <w:r w:rsidRPr="00F100CD">
        <w:rPr>
          <w:b/>
          <w:sz w:val="20"/>
          <w:szCs w:val="20"/>
        </w:rPr>
        <w:t>Estadía máxima: 4 noches</w:t>
      </w:r>
      <w:r w:rsidRPr="00F100CD">
        <w:rPr>
          <w:sz w:val="20"/>
          <w:szCs w:val="20"/>
        </w:rPr>
        <w:t>.</w:t>
      </w:r>
    </w:p>
    <w:p w:rsidR="004F5DD9" w:rsidRPr="00F100CD" w:rsidRDefault="004F5DD9" w:rsidP="00F100CD">
      <w:pPr>
        <w:pStyle w:val="Prrafodelista"/>
        <w:spacing w:before="240" w:after="0"/>
        <w:ind w:left="862" w:right="27"/>
        <w:jc w:val="both"/>
        <w:rPr>
          <w:sz w:val="20"/>
          <w:szCs w:val="20"/>
        </w:rPr>
      </w:pPr>
      <w:r w:rsidRPr="00F100CD">
        <w:rPr>
          <w:sz w:val="20"/>
          <w:szCs w:val="20"/>
        </w:rPr>
        <w:t xml:space="preserve">22 mts²+ balcón, dormitorio con </w:t>
      </w:r>
      <w:r w:rsidRPr="00F100CD">
        <w:rPr>
          <w:sz w:val="20"/>
          <w:szCs w:val="20"/>
          <w:u w:val="single"/>
        </w:rPr>
        <w:t>cama matrimonial</w:t>
      </w:r>
      <w:r w:rsidRPr="00F100CD">
        <w:rPr>
          <w:sz w:val="20"/>
          <w:szCs w:val="20"/>
        </w:rPr>
        <w:t xml:space="preserve"> Queen </w:t>
      </w:r>
      <w:proofErr w:type="spellStart"/>
      <w:r w:rsidRPr="00F100CD">
        <w:rPr>
          <w:sz w:val="20"/>
          <w:szCs w:val="20"/>
        </w:rPr>
        <w:t>Size</w:t>
      </w:r>
      <w:proofErr w:type="spellEnd"/>
      <w:r w:rsidRPr="00F100CD">
        <w:rPr>
          <w:sz w:val="20"/>
          <w:szCs w:val="20"/>
        </w:rPr>
        <w:t xml:space="preserve">, </w:t>
      </w:r>
      <w:proofErr w:type="spellStart"/>
      <w:r w:rsidRPr="00F100CD">
        <w:rPr>
          <w:sz w:val="20"/>
          <w:szCs w:val="20"/>
        </w:rPr>
        <w:t>heladerita</w:t>
      </w:r>
      <w:proofErr w:type="spellEnd"/>
      <w:r w:rsidRPr="00F100CD">
        <w:rPr>
          <w:sz w:val="20"/>
          <w:szCs w:val="20"/>
        </w:rPr>
        <w:t xml:space="preserve">, baño completo, TV 24", calefacción central por radiador, Corriente 220V. </w:t>
      </w:r>
    </w:p>
    <w:p w:rsidR="00416945" w:rsidRPr="00416945" w:rsidRDefault="00416945" w:rsidP="00F100CD">
      <w:pPr>
        <w:pStyle w:val="Prrafodelista"/>
        <w:spacing w:before="240" w:after="0"/>
        <w:ind w:left="142" w:right="27"/>
        <w:jc w:val="both"/>
        <w:rPr>
          <w:sz w:val="20"/>
          <w:szCs w:val="20"/>
        </w:rPr>
      </w:pPr>
    </w:p>
    <w:p w:rsidR="00416945" w:rsidRPr="00F100CD" w:rsidRDefault="004F5DD9" w:rsidP="00F100CD">
      <w:pPr>
        <w:pStyle w:val="Prrafodelista"/>
        <w:numPr>
          <w:ilvl w:val="0"/>
          <w:numId w:val="7"/>
        </w:numPr>
        <w:spacing w:before="240" w:after="0"/>
        <w:ind w:right="27"/>
        <w:jc w:val="both"/>
        <w:rPr>
          <w:sz w:val="20"/>
          <w:szCs w:val="20"/>
        </w:rPr>
      </w:pPr>
      <w:r w:rsidRPr="00F100CD">
        <w:rPr>
          <w:b/>
          <w:sz w:val="20"/>
          <w:szCs w:val="20"/>
        </w:rPr>
        <w:t>Depto. de 1 dormitorio</w:t>
      </w:r>
      <w:r w:rsidRPr="00F100CD">
        <w:rPr>
          <w:sz w:val="20"/>
          <w:szCs w:val="20"/>
        </w:rPr>
        <w:t>: (capacidad hasta 5 personas)</w:t>
      </w:r>
    </w:p>
    <w:p w:rsidR="004F5DD9" w:rsidRPr="00F100CD" w:rsidRDefault="004F5DD9" w:rsidP="00F100CD">
      <w:pPr>
        <w:pStyle w:val="Prrafodelista"/>
        <w:spacing w:before="240" w:after="0"/>
        <w:ind w:left="862" w:right="27"/>
        <w:jc w:val="both"/>
        <w:rPr>
          <w:sz w:val="20"/>
          <w:szCs w:val="20"/>
        </w:rPr>
      </w:pPr>
      <w:r w:rsidRPr="00F100CD">
        <w:rPr>
          <w:sz w:val="20"/>
          <w:szCs w:val="20"/>
        </w:rPr>
        <w:t xml:space="preserve">55 mts²+ balcón, hall de entrada, cocina completa con horno, heladera, vajilla y cubertería, comedor para 5 personas, living con dos sofá-camas, dormitorio con </w:t>
      </w:r>
      <w:r w:rsidRPr="00F100CD">
        <w:rPr>
          <w:sz w:val="20"/>
          <w:szCs w:val="20"/>
          <w:u w:val="single"/>
        </w:rPr>
        <w:t>cama matrimonial</w:t>
      </w:r>
      <w:r w:rsidRPr="00F100CD">
        <w:rPr>
          <w:sz w:val="20"/>
          <w:szCs w:val="20"/>
        </w:rPr>
        <w:t xml:space="preserve"> Queen </w:t>
      </w:r>
      <w:proofErr w:type="spellStart"/>
      <w:r w:rsidRPr="00F100CD">
        <w:rPr>
          <w:sz w:val="20"/>
          <w:szCs w:val="20"/>
        </w:rPr>
        <w:t>Size</w:t>
      </w:r>
      <w:proofErr w:type="spellEnd"/>
      <w:r w:rsidRPr="00F100CD">
        <w:rPr>
          <w:sz w:val="20"/>
          <w:szCs w:val="20"/>
        </w:rPr>
        <w:t xml:space="preserve"> y vestidor, baño completo, </w:t>
      </w:r>
      <w:proofErr w:type="spellStart"/>
      <w:r w:rsidRPr="00F100CD">
        <w:rPr>
          <w:sz w:val="20"/>
          <w:szCs w:val="20"/>
        </w:rPr>
        <w:t>amenities</w:t>
      </w:r>
      <w:proofErr w:type="spellEnd"/>
      <w:r w:rsidRPr="00F100CD">
        <w:rPr>
          <w:sz w:val="20"/>
          <w:szCs w:val="20"/>
        </w:rPr>
        <w:t xml:space="preserve">, TV 24", calefacción central por radiador, Corriente 220V. </w:t>
      </w:r>
    </w:p>
    <w:p w:rsidR="00416945" w:rsidRPr="00416945" w:rsidRDefault="00416945" w:rsidP="00F100CD">
      <w:pPr>
        <w:pStyle w:val="Prrafodelista"/>
        <w:spacing w:before="240" w:after="0"/>
        <w:ind w:left="142" w:right="27"/>
        <w:jc w:val="both"/>
        <w:rPr>
          <w:sz w:val="20"/>
          <w:szCs w:val="20"/>
        </w:rPr>
      </w:pPr>
    </w:p>
    <w:p w:rsidR="00416945" w:rsidRPr="00F100CD" w:rsidRDefault="004F5DD9" w:rsidP="00F100CD">
      <w:pPr>
        <w:pStyle w:val="Prrafodelista"/>
        <w:numPr>
          <w:ilvl w:val="0"/>
          <w:numId w:val="7"/>
        </w:numPr>
        <w:spacing w:before="240" w:after="0"/>
        <w:ind w:right="27"/>
        <w:jc w:val="both"/>
        <w:rPr>
          <w:sz w:val="20"/>
          <w:szCs w:val="20"/>
        </w:rPr>
      </w:pPr>
      <w:r w:rsidRPr="00F100CD">
        <w:rPr>
          <w:b/>
          <w:sz w:val="20"/>
          <w:szCs w:val="20"/>
        </w:rPr>
        <w:t>Depto. de 2 dormitorios</w:t>
      </w:r>
      <w:r w:rsidRPr="00F100CD">
        <w:rPr>
          <w:sz w:val="20"/>
          <w:szCs w:val="20"/>
        </w:rPr>
        <w:t xml:space="preserve">: (capacidad hasta 7 personas) </w:t>
      </w:r>
    </w:p>
    <w:p w:rsidR="004F5DD9" w:rsidRPr="00F100CD" w:rsidRDefault="004F5DD9" w:rsidP="00F100CD">
      <w:pPr>
        <w:pStyle w:val="Prrafodelista"/>
        <w:spacing w:before="240" w:after="0"/>
        <w:ind w:left="862" w:right="27"/>
        <w:jc w:val="both"/>
        <w:rPr>
          <w:sz w:val="20"/>
          <w:szCs w:val="20"/>
        </w:rPr>
      </w:pPr>
      <w:r w:rsidRPr="00F100CD">
        <w:rPr>
          <w:sz w:val="20"/>
          <w:szCs w:val="20"/>
        </w:rPr>
        <w:t xml:space="preserve">75 mts²+ balcón, hall de entrada, cocina completa con horno, heladera, vajilla y cubertería, comedor para 7 personas, living con dos sofá-camas, 2 dormitorios con </w:t>
      </w:r>
      <w:r w:rsidRPr="00F100CD">
        <w:rPr>
          <w:sz w:val="20"/>
          <w:szCs w:val="20"/>
          <w:u w:val="single"/>
        </w:rPr>
        <w:t>camas matrimoniales</w:t>
      </w:r>
      <w:r w:rsidRPr="00F100CD">
        <w:rPr>
          <w:sz w:val="20"/>
          <w:szCs w:val="20"/>
        </w:rPr>
        <w:t xml:space="preserve"> Queen </w:t>
      </w:r>
      <w:proofErr w:type="spellStart"/>
      <w:r w:rsidRPr="00F100CD">
        <w:rPr>
          <w:sz w:val="20"/>
          <w:szCs w:val="20"/>
        </w:rPr>
        <w:t>Size</w:t>
      </w:r>
      <w:proofErr w:type="spellEnd"/>
      <w:r w:rsidRPr="00F100CD">
        <w:rPr>
          <w:sz w:val="20"/>
          <w:szCs w:val="20"/>
        </w:rPr>
        <w:t xml:space="preserve"> y vestidores, 2 baños completos, </w:t>
      </w:r>
      <w:proofErr w:type="spellStart"/>
      <w:r w:rsidRPr="00F100CD">
        <w:rPr>
          <w:sz w:val="20"/>
          <w:szCs w:val="20"/>
        </w:rPr>
        <w:t>amenities</w:t>
      </w:r>
      <w:proofErr w:type="spellEnd"/>
      <w:r w:rsidRPr="00F100CD">
        <w:rPr>
          <w:sz w:val="20"/>
          <w:szCs w:val="20"/>
        </w:rPr>
        <w:t>, TV 24", calefacción central por radiador, Corriente 220V.</w:t>
      </w:r>
    </w:p>
    <w:p w:rsidR="004F5DD9" w:rsidRPr="00F100CD" w:rsidRDefault="004F5DD9" w:rsidP="00F100CD">
      <w:pPr>
        <w:spacing w:before="240" w:after="0"/>
        <w:ind w:right="27"/>
        <w:jc w:val="both"/>
        <w:rPr>
          <w:b/>
          <w:sz w:val="20"/>
          <w:szCs w:val="20"/>
        </w:rPr>
      </w:pPr>
      <w:r w:rsidRPr="00F100CD">
        <w:rPr>
          <w:b/>
          <w:sz w:val="20"/>
          <w:szCs w:val="20"/>
        </w:rPr>
        <w:t xml:space="preserve">SERVICIOS INCLUIDOS: </w:t>
      </w:r>
    </w:p>
    <w:p w:rsidR="00F100CD" w:rsidRDefault="004F5DD9" w:rsidP="00F100CD">
      <w:pPr>
        <w:spacing w:after="0"/>
        <w:ind w:left="142" w:right="27"/>
        <w:jc w:val="both"/>
        <w:rPr>
          <w:sz w:val="20"/>
          <w:szCs w:val="20"/>
        </w:rPr>
      </w:pPr>
      <w:r w:rsidRPr="00416945">
        <w:rPr>
          <w:sz w:val="20"/>
          <w:szCs w:val="20"/>
        </w:rPr>
        <w:t xml:space="preserve">Desayuno buffet, estacionamiento descubierto, uso del quincho (se abona una tasa de limpieza), sala de juegos, cancha de tenis, internet </w:t>
      </w:r>
      <w:proofErr w:type="spellStart"/>
      <w:r w:rsidRPr="00416945">
        <w:rPr>
          <w:sz w:val="20"/>
          <w:szCs w:val="20"/>
        </w:rPr>
        <w:t>Wi</w:t>
      </w:r>
      <w:proofErr w:type="spellEnd"/>
      <w:r w:rsidRPr="00416945">
        <w:rPr>
          <w:sz w:val="20"/>
          <w:szCs w:val="20"/>
        </w:rPr>
        <w:t xml:space="preserve">-Fi, libre acceso al SPA, piscina climatizada y áreas comunes. </w:t>
      </w:r>
    </w:p>
    <w:p w:rsidR="004F5DD9" w:rsidRPr="00F100CD" w:rsidRDefault="004F5DD9" w:rsidP="00F100CD">
      <w:pPr>
        <w:spacing w:before="240" w:after="0"/>
        <w:ind w:right="27"/>
        <w:jc w:val="both"/>
        <w:rPr>
          <w:sz w:val="20"/>
          <w:szCs w:val="20"/>
        </w:rPr>
      </w:pPr>
      <w:r w:rsidRPr="00416945">
        <w:rPr>
          <w:b/>
          <w:sz w:val="20"/>
          <w:szCs w:val="20"/>
        </w:rPr>
        <w:t xml:space="preserve">CONDICIONES DE RESERVACIÓN: </w:t>
      </w:r>
    </w:p>
    <w:p w:rsidR="004F5DD9" w:rsidRPr="00F100CD" w:rsidRDefault="004F5DD9" w:rsidP="00F100CD">
      <w:pPr>
        <w:pStyle w:val="Prrafodelista"/>
        <w:numPr>
          <w:ilvl w:val="0"/>
          <w:numId w:val="5"/>
        </w:numPr>
        <w:spacing w:after="0"/>
        <w:ind w:right="27"/>
        <w:jc w:val="both"/>
        <w:rPr>
          <w:b/>
          <w:sz w:val="20"/>
          <w:szCs w:val="20"/>
          <w:u w:val="single"/>
        </w:rPr>
      </w:pPr>
      <w:r w:rsidRPr="00F100CD">
        <w:rPr>
          <w:sz w:val="20"/>
          <w:szCs w:val="20"/>
        </w:rPr>
        <w:t xml:space="preserve">Al momento de confirmar una reserva se deberá tener en consideración el vencimiento de pago de la misma (del anticipo y/o su totalidad) el cual será establecido por el Depto. de Ventas y especificado en la liquidación correspondiente. En caso de NO recibir el pago en la fecha de vencimiento indicada (ya sea el anticipo o la totalidad) la reserva </w:t>
      </w:r>
      <w:r w:rsidRPr="00F100CD">
        <w:rPr>
          <w:b/>
          <w:sz w:val="20"/>
          <w:szCs w:val="20"/>
          <w:u w:val="single"/>
        </w:rPr>
        <w:t xml:space="preserve">será dada de baja en forma automática. </w:t>
      </w:r>
    </w:p>
    <w:p w:rsidR="00F100CD" w:rsidRDefault="004F5DD9" w:rsidP="00F100CD">
      <w:pPr>
        <w:pStyle w:val="Prrafodelista"/>
        <w:numPr>
          <w:ilvl w:val="0"/>
          <w:numId w:val="5"/>
        </w:numPr>
        <w:spacing w:after="0"/>
        <w:ind w:right="27"/>
        <w:jc w:val="both"/>
        <w:rPr>
          <w:sz w:val="20"/>
          <w:szCs w:val="20"/>
        </w:rPr>
      </w:pPr>
      <w:r w:rsidRPr="00F100CD">
        <w:rPr>
          <w:sz w:val="20"/>
          <w:szCs w:val="20"/>
        </w:rPr>
        <w:t xml:space="preserve">Las facturas serán emitidas en pesos argentinos al </w:t>
      </w:r>
      <w:r w:rsidRPr="00F100CD">
        <w:rPr>
          <w:b/>
          <w:sz w:val="20"/>
          <w:szCs w:val="20"/>
          <w:u w:val="single"/>
        </w:rPr>
        <w:t>tipo de ca</w:t>
      </w:r>
      <w:r w:rsidRPr="00F100CD">
        <w:rPr>
          <w:b/>
          <w:sz w:val="20"/>
          <w:szCs w:val="20"/>
          <w:u w:val="single"/>
        </w:rPr>
        <w:t>mbio VENDEDOR</w:t>
      </w:r>
      <w:r w:rsidRPr="00F100CD">
        <w:rPr>
          <w:sz w:val="20"/>
          <w:szCs w:val="20"/>
        </w:rPr>
        <w:t xml:space="preserve"> del Banco Nación, </w:t>
      </w:r>
      <w:r w:rsidRPr="00F100CD">
        <w:rPr>
          <w:sz w:val="20"/>
          <w:szCs w:val="20"/>
        </w:rPr>
        <w:t>antes del vencimiento del pago (del anticipo y/o de la totalidad) de la reserva.</w:t>
      </w:r>
    </w:p>
    <w:p w:rsidR="00F100CD" w:rsidRDefault="00F100CD" w:rsidP="00F100CD">
      <w:pPr>
        <w:spacing w:after="0"/>
        <w:ind w:right="27"/>
        <w:jc w:val="both"/>
        <w:rPr>
          <w:b/>
          <w:sz w:val="20"/>
          <w:szCs w:val="20"/>
        </w:rPr>
      </w:pPr>
    </w:p>
    <w:p w:rsidR="00F100CD" w:rsidRPr="00F100CD" w:rsidRDefault="004F5DD9" w:rsidP="00F100CD">
      <w:pPr>
        <w:spacing w:after="0"/>
        <w:ind w:right="27"/>
        <w:jc w:val="both"/>
        <w:rPr>
          <w:sz w:val="20"/>
          <w:szCs w:val="20"/>
        </w:rPr>
      </w:pPr>
      <w:r w:rsidRPr="00F100CD">
        <w:rPr>
          <w:b/>
          <w:sz w:val="20"/>
          <w:szCs w:val="20"/>
        </w:rPr>
        <w:lastRenderedPageBreak/>
        <w:t xml:space="preserve">POLÍTICA DE CANCELACIÓN: </w:t>
      </w:r>
    </w:p>
    <w:p w:rsidR="004F5DD9" w:rsidRPr="00F100CD" w:rsidRDefault="004F5DD9" w:rsidP="00F100CD">
      <w:pPr>
        <w:spacing w:after="0"/>
        <w:ind w:right="27"/>
        <w:rPr>
          <w:b/>
          <w:sz w:val="20"/>
          <w:szCs w:val="20"/>
        </w:rPr>
      </w:pPr>
      <w:r w:rsidRPr="00416945">
        <w:rPr>
          <w:sz w:val="20"/>
          <w:szCs w:val="20"/>
        </w:rPr>
        <w:t>Toda cancelación deberá ser enviada vía email a nuestro Depto. de Reservas (</w:t>
      </w:r>
      <w:r w:rsidRPr="00F100CD">
        <w:rPr>
          <w:sz w:val="20"/>
          <w:szCs w:val="20"/>
          <w:u w:val="single"/>
        </w:rPr>
        <w:t>socios@aldeaandinahotel.com y agencias@aldeaandinahotel.com</w:t>
      </w:r>
      <w:r w:rsidRPr="00416945">
        <w:rPr>
          <w:sz w:val="20"/>
          <w:szCs w:val="20"/>
        </w:rPr>
        <w:t>) y se les confirmará como recibida por la misma vía. En caso de cancelación, no se devuelve el dinero, queda como crédito para usar el mismo en otra época del año, dentro de los 12 meses siguientes.</w:t>
      </w:r>
    </w:p>
    <w:p w:rsidR="00F100CD" w:rsidRPr="00416945" w:rsidRDefault="00F100CD" w:rsidP="00F100CD">
      <w:pPr>
        <w:spacing w:after="0"/>
        <w:ind w:left="142" w:right="27"/>
        <w:rPr>
          <w:sz w:val="20"/>
          <w:szCs w:val="20"/>
        </w:rPr>
      </w:pPr>
    </w:p>
    <w:p w:rsidR="00F100CD" w:rsidRDefault="004F5DD9" w:rsidP="00F100CD">
      <w:pPr>
        <w:pStyle w:val="Prrafodelista"/>
        <w:numPr>
          <w:ilvl w:val="0"/>
          <w:numId w:val="3"/>
        </w:numPr>
        <w:spacing w:after="0"/>
        <w:ind w:right="27"/>
        <w:jc w:val="both"/>
        <w:rPr>
          <w:sz w:val="20"/>
          <w:szCs w:val="20"/>
        </w:rPr>
      </w:pPr>
      <w:r w:rsidRPr="00F100CD">
        <w:rPr>
          <w:b/>
          <w:sz w:val="20"/>
          <w:szCs w:val="20"/>
        </w:rPr>
        <w:t>TEMPORADA ALTA:</w:t>
      </w:r>
      <w:r w:rsidRPr="00F100CD">
        <w:rPr>
          <w:sz w:val="20"/>
          <w:szCs w:val="20"/>
        </w:rPr>
        <w:t xml:space="preserve"> </w:t>
      </w:r>
      <w:r w:rsidRPr="00F100CD">
        <w:rPr>
          <w:b/>
          <w:sz w:val="20"/>
          <w:szCs w:val="20"/>
        </w:rPr>
        <w:t>(05/07/19 – 31/08/19) (20/12/19 - 04/01/20)</w:t>
      </w:r>
    </w:p>
    <w:p w:rsidR="004F5DD9" w:rsidRDefault="004F5DD9" w:rsidP="00F100CD">
      <w:pPr>
        <w:pStyle w:val="Prrafodelista"/>
        <w:spacing w:after="0"/>
        <w:ind w:right="27"/>
        <w:jc w:val="both"/>
        <w:rPr>
          <w:sz w:val="20"/>
          <w:szCs w:val="20"/>
        </w:rPr>
      </w:pPr>
      <w:r w:rsidRPr="00F100CD">
        <w:rPr>
          <w:sz w:val="20"/>
          <w:szCs w:val="20"/>
        </w:rPr>
        <w:t xml:space="preserve">Cancelaciones hasta 15 días antes del CHECK-IN, sin gastos de cancelación. Quedará el total de lo abonado como crédito para futuras reservas. Cancelaciones dentro de los 14 días anteriores al ingreso, se cobrará el 100% de la reserva como penalidad. En caso de no completarse la estadía o de “No-Show” no se realizará ningún reembolso. </w:t>
      </w:r>
    </w:p>
    <w:p w:rsidR="00F100CD" w:rsidRPr="00F100CD" w:rsidRDefault="00F100CD" w:rsidP="00F100CD">
      <w:pPr>
        <w:pStyle w:val="Prrafodelista"/>
        <w:spacing w:after="0"/>
        <w:ind w:right="27"/>
        <w:jc w:val="both"/>
        <w:rPr>
          <w:sz w:val="20"/>
          <w:szCs w:val="20"/>
        </w:rPr>
      </w:pPr>
    </w:p>
    <w:p w:rsidR="00F100CD" w:rsidRDefault="00416945" w:rsidP="00F100CD">
      <w:pPr>
        <w:pStyle w:val="Prrafodelista"/>
        <w:numPr>
          <w:ilvl w:val="0"/>
          <w:numId w:val="3"/>
        </w:numPr>
        <w:spacing w:after="0"/>
        <w:ind w:right="27"/>
        <w:jc w:val="both"/>
        <w:rPr>
          <w:sz w:val="20"/>
          <w:szCs w:val="20"/>
        </w:rPr>
      </w:pPr>
      <w:r w:rsidRPr="00F100CD">
        <w:rPr>
          <w:b/>
          <w:sz w:val="20"/>
          <w:szCs w:val="20"/>
        </w:rPr>
        <w:t>T</w:t>
      </w:r>
      <w:r w:rsidR="004F5DD9" w:rsidRPr="00F100CD">
        <w:rPr>
          <w:b/>
          <w:sz w:val="20"/>
          <w:szCs w:val="20"/>
        </w:rPr>
        <w:t>EMPORADA MEDIA/BAJA:</w:t>
      </w:r>
      <w:r w:rsidR="004F5DD9" w:rsidRPr="00F100CD">
        <w:rPr>
          <w:sz w:val="20"/>
          <w:szCs w:val="20"/>
        </w:rPr>
        <w:t xml:space="preserve"> </w:t>
      </w:r>
    </w:p>
    <w:p w:rsidR="004F5DD9" w:rsidRPr="00F100CD" w:rsidRDefault="004F5DD9" w:rsidP="00F100CD">
      <w:pPr>
        <w:pStyle w:val="Prrafodelista"/>
        <w:spacing w:after="0"/>
        <w:ind w:right="27"/>
        <w:jc w:val="both"/>
        <w:rPr>
          <w:sz w:val="20"/>
          <w:szCs w:val="20"/>
        </w:rPr>
      </w:pPr>
      <w:r w:rsidRPr="00F100CD">
        <w:rPr>
          <w:sz w:val="20"/>
          <w:szCs w:val="20"/>
        </w:rPr>
        <w:t xml:space="preserve">Cancelaciones hasta 48 </w:t>
      </w:r>
      <w:proofErr w:type="spellStart"/>
      <w:r w:rsidRPr="00F100CD">
        <w:rPr>
          <w:sz w:val="20"/>
          <w:szCs w:val="20"/>
        </w:rPr>
        <w:t>hs</w:t>
      </w:r>
      <w:proofErr w:type="spellEnd"/>
      <w:r w:rsidRPr="00F100CD">
        <w:rPr>
          <w:sz w:val="20"/>
          <w:szCs w:val="20"/>
        </w:rPr>
        <w:t xml:space="preserve">. antes del CHECK-IN, sin gastos de cancelación. Quedará el total de lo abonado como crédito para futuras reservas. Cancelaciones dentro de las 48 </w:t>
      </w:r>
      <w:proofErr w:type="spellStart"/>
      <w:r w:rsidRPr="00F100CD">
        <w:rPr>
          <w:sz w:val="20"/>
          <w:szCs w:val="20"/>
        </w:rPr>
        <w:t>hs</w:t>
      </w:r>
      <w:proofErr w:type="spellEnd"/>
      <w:r w:rsidRPr="00F100CD">
        <w:rPr>
          <w:sz w:val="20"/>
          <w:szCs w:val="20"/>
        </w:rPr>
        <w:t xml:space="preserve">. anteriores al CHECK-IN, se retendrá el valor de la primera noche en concepto de gastos, quedando el saldo como crédito para futuras reservas. En caso de no completarse la estadía o de “No-Show” no se realizará ningún reembolso. </w:t>
      </w:r>
    </w:p>
    <w:p w:rsidR="004F5DD9" w:rsidRPr="00416945" w:rsidRDefault="004F5DD9" w:rsidP="00F100CD">
      <w:pPr>
        <w:spacing w:before="240" w:after="0"/>
        <w:ind w:right="27"/>
        <w:rPr>
          <w:b/>
          <w:sz w:val="20"/>
          <w:szCs w:val="20"/>
        </w:rPr>
      </w:pPr>
      <w:r w:rsidRPr="00416945">
        <w:rPr>
          <w:b/>
          <w:sz w:val="20"/>
          <w:szCs w:val="20"/>
        </w:rPr>
        <w:t xml:space="preserve">POLÍTICA DE MENORES: </w:t>
      </w:r>
    </w:p>
    <w:p w:rsidR="004F5DD9" w:rsidRPr="00416945" w:rsidRDefault="004F5DD9" w:rsidP="00F100CD">
      <w:pPr>
        <w:spacing w:after="0"/>
        <w:ind w:right="27"/>
        <w:rPr>
          <w:sz w:val="20"/>
          <w:szCs w:val="20"/>
        </w:rPr>
      </w:pPr>
      <w:r w:rsidRPr="00416945">
        <w:rPr>
          <w:sz w:val="20"/>
          <w:szCs w:val="20"/>
        </w:rPr>
        <w:t xml:space="preserve">Los menores de 2 años se alojarán sin cargo en departamentos de 1 y 2 dormitorios, pero contarán como pasajero. La ocupación de las unidades no se puede superar. </w:t>
      </w:r>
    </w:p>
    <w:p w:rsidR="004F5DD9" w:rsidRPr="00416945" w:rsidRDefault="004F5DD9" w:rsidP="00F100CD">
      <w:pPr>
        <w:spacing w:before="240" w:after="0"/>
        <w:ind w:right="27"/>
        <w:rPr>
          <w:b/>
          <w:sz w:val="20"/>
          <w:szCs w:val="20"/>
        </w:rPr>
      </w:pPr>
      <w:r w:rsidRPr="00416945">
        <w:rPr>
          <w:b/>
          <w:sz w:val="20"/>
          <w:szCs w:val="20"/>
        </w:rPr>
        <w:t xml:space="preserve">HORARIOS DE INGRESO Y EGRESO: </w:t>
      </w:r>
    </w:p>
    <w:p w:rsidR="00416945" w:rsidRPr="00F100CD" w:rsidRDefault="004F5DD9" w:rsidP="00F100CD">
      <w:pPr>
        <w:spacing w:after="0"/>
        <w:ind w:right="27"/>
        <w:rPr>
          <w:sz w:val="20"/>
          <w:szCs w:val="20"/>
          <w:lang w:val="en-US"/>
        </w:rPr>
      </w:pPr>
      <w:r w:rsidRPr="00F100CD">
        <w:rPr>
          <w:sz w:val="20"/>
          <w:szCs w:val="20"/>
          <w:lang w:val="en-US"/>
        </w:rPr>
        <w:t xml:space="preserve">Check In: 16hs. </w:t>
      </w:r>
    </w:p>
    <w:p w:rsidR="00416945" w:rsidRPr="00F100CD" w:rsidRDefault="004F5DD9" w:rsidP="00F100CD">
      <w:pPr>
        <w:spacing w:after="0"/>
        <w:ind w:right="27"/>
        <w:rPr>
          <w:sz w:val="20"/>
          <w:szCs w:val="20"/>
        </w:rPr>
      </w:pPr>
      <w:proofErr w:type="spellStart"/>
      <w:r w:rsidRPr="00F100CD">
        <w:rPr>
          <w:sz w:val="20"/>
          <w:szCs w:val="20"/>
        </w:rPr>
        <w:t>Check</w:t>
      </w:r>
      <w:proofErr w:type="spellEnd"/>
      <w:r w:rsidRPr="00F100CD">
        <w:rPr>
          <w:sz w:val="20"/>
          <w:szCs w:val="20"/>
        </w:rPr>
        <w:t xml:space="preserve"> </w:t>
      </w:r>
      <w:proofErr w:type="spellStart"/>
      <w:r w:rsidRPr="00F100CD">
        <w:rPr>
          <w:sz w:val="20"/>
          <w:szCs w:val="20"/>
        </w:rPr>
        <w:t>Out</w:t>
      </w:r>
      <w:proofErr w:type="spellEnd"/>
      <w:r w:rsidRPr="00F100CD">
        <w:rPr>
          <w:sz w:val="20"/>
          <w:szCs w:val="20"/>
        </w:rPr>
        <w:t xml:space="preserve">: 10hs. </w:t>
      </w:r>
    </w:p>
    <w:p w:rsidR="00416945" w:rsidRPr="00416945" w:rsidRDefault="004F5DD9" w:rsidP="00F100CD">
      <w:pPr>
        <w:spacing w:before="240" w:after="0"/>
        <w:ind w:right="27"/>
        <w:rPr>
          <w:b/>
          <w:sz w:val="20"/>
          <w:szCs w:val="20"/>
        </w:rPr>
      </w:pPr>
      <w:r w:rsidRPr="00416945">
        <w:rPr>
          <w:b/>
          <w:sz w:val="20"/>
          <w:szCs w:val="20"/>
        </w:rPr>
        <w:t xml:space="preserve">DATOS DE FACTURACIÓN y PAGOS: </w:t>
      </w:r>
    </w:p>
    <w:p w:rsidR="004F5DD9" w:rsidRPr="00416945" w:rsidRDefault="004F5DD9" w:rsidP="00F100CD">
      <w:pPr>
        <w:spacing w:after="0"/>
        <w:ind w:right="27"/>
        <w:rPr>
          <w:sz w:val="20"/>
          <w:szCs w:val="20"/>
        </w:rPr>
      </w:pPr>
      <w:r w:rsidRPr="00416945">
        <w:rPr>
          <w:sz w:val="20"/>
          <w:szCs w:val="20"/>
        </w:rPr>
        <w:t>Razón Social: TRESBES SA - CUIT: 30-71155821-3 - Av. Córdoba 950 piso 12 C, CABA Cuenta bancaria: Banco Galicia - Cuenta Corriente $: 2102-9 142-1 - CBU: 00701422-20000002102913</w:t>
      </w:r>
    </w:p>
    <w:p w:rsidR="004F5DD9" w:rsidRDefault="004F5DD9" w:rsidP="00F100CD">
      <w:pPr>
        <w:ind w:left="142" w:right="27"/>
      </w:pPr>
    </w:p>
    <w:p w:rsidR="00B73289" w:rsidRDefault="00B73289" w:rsidP="00F100CD">
      <w:pPr>
        <w:ind w:left="142" w:right="27"/>
        <w:jc w:val="center"/>
      </w:pPr>
    </w:p>
    <w:p w:rsidR="00BB030F" w:rsidRDefault="00BB030F" w:rsidP="00F100CD">
      <w:pPr>
        <w:ind w:left="142" w:right="27"/>
        <w:jc w:val="center"/>
      </w:pPr>
    </w:p>
    <w:p w:rsidR="00BB030F" w:rsidRDefault="00BB030F" w:rsidP="00F100CD">
      <w:pPr>
        <w:ind w:left="142" w:right="27"/>
        <w:jc w:val="center"/>
      </w:pPr>
    </w:p>
    <w:p w:rsidR="00BB030F" w:rsidRDefault="00BB030F" w:rsidP="00F100CD">
      <w:pPr>
        <w:ind w:left="142" w:right="27"/>
        <w:jc w:val="center"/>
      </w:pPr>
      <w:bookmarkStart w:id="0" w:name="_GoBack"/>
      <w:bookmarkEnd w:id="0"/>
    </w:p>
    <w:sectPr w:rsidR="00BB030F" w:rsidSect="00416945">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F7" w:rsidRDefault="003F16F7" w:rsidP="00F100CD">
      <w:pPr>
        <w:spacing w:after="0" w:line="240" w:lineRule="auto"/>
      </w:pPr>
      <w:r>
        <w:separator/>
      </w:r>
    </w:p>
  </w:endnote>
  <w:endnote w:type="continuationSeparator" w:id="0">
    <w:p w:rsidR="003F16F7" w:rsidRDefault="003F16F7" w:rsidP="00F1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CD" w:rsidRPr="00F100CD" w:rsidRDefault="00F100CD" w:rsidP="00F100CD">
    <w:pPr>
      <w:pStyle w:val="Piedepgina"/>
      <w:rPr>
        <w:b/>
        <w:i/>
        <w:sz w:val="18"/>
        <w:szCs w:val="18"/>
      </w:rPr>
    </w:pPr>
    <w:r w:rsidRPr="00F100CD">
      <w:rPr>
        <w:b/>
        <w:i/>
        <w:sz w:val="18"/>
        <w:szCs w:val="18"/>
      </w:rPr>
      <w:t>HOTEL</w:t>
    </w:r>
    <w:r w:rsidRPr="00F100CD">
      <w:rPr>
        <w:b/>
        <w:i/>
        <w:sz w:val="18"/>
        <w:szCs w:val="18"/>
      </w:rPr>
      <w:t xml:space="preserve">                                                                                                                                  </w:t>
    </w:r>
    <w:r w:rsidRPr="00F100CD">
      <w:rPr>
        <w:b/>
        <w:i/>
        <w:sz w:val="18"/>
        <w:szCs w:val="18"/>
      </w:rPr>
      <w:t>ADMINISTRACIÓN</w:t>
    </w:r>
  </w:p>
  <w:p w:rsidR="00F100CD" w:rsidRPr="00F100CD" w:rsidRDefault="00F100CD" w:rsidP="00F100CD">
    <w:pPr>
      <w:pStyle w:val="Piedepgina"/>
      <w:rPr>
        <w:b/>
        <w:i/>
        <w:sz w:val="18"/>
        <w:szCs w:val="18"/>
      </w:rPr>
    </w:pPr>
    <w:r w:rsidRPr="00F100CD">
      <w:rPr>
        <w:b/>
        <w:i/>
        <w:sz w:val="18"/>
        <w:szCs w:val="18"/>
      </w:rPr>
      <w:t xml:space="preserve">Av. Pioneros Km. 2, </w:t>
    </w:r>
    <w:r w:rsidRPr="00F100CD">
      <w:rPr>
        <w:b/>
        <w:i/>
        <w:sz w:val="18"/>
        <w:szCs w:val="18"/>
      </w:rPr>
      <w:t xml:space="preserve">                                                                                                          </w:t>
    </w:r>
    <w:r w:rsidRPr="00F100CD">
      <w:rPr>
        <w:b/>
        <w:i/>
        <w:sz w:val="18"/>
        <w:szCs w:val="18"/>
      </w:rPr>
      <w:t>Av. del Libertador 1958 2º3,</w:t>
    </w:r>
  </w:p>
  <w:p w:rsidR="00F100CD" w:rsidRPr="00F100CD" w:rsidRDefault="00F100CD" w:rsidP="00F100CD">
    <w:pPr>
      <w:pStyle w:val="Piedepgina"/>
      <w:rPr>
        <w:b/>
        <w:i/>
        <w:sz w:val="18"/>
        <w:szCs w:val="18"/>
      </w:rPr>
    </w:pPr>
    <w:r w:rsidRPr="00F100CD">
      <w:rPr>
        <w:b/>
        <w:i/>
        <w:sz w:val="18"/>
        <w:szCs w:val="18"/>
      </w:rPr>
      <w:t>San Carlos de Bariloche, Provincia de Río Negro</w:t>
    </w:r>
    <w:r w:rsidRPr="00F100CD">
      <w:rPr>
        <w:b/>
        <w:i/>
        <w:sz w:val="18"/>
        <w:szCs w:val="18"/>
      </w:rPr>
      <w:t xml:space="preserve">                        </w:t>
    </w:r>
    <w:r>
      <w:rPr>
        <w:b/>
        <w:i/>
        <w:sz w:val="18"/>
        <w:szCs w:val="18"/>
      </w:rPr>
      <w:t xml:space="preserve">                               </w:t>
    </w:r>
    <w:r w:rsidRPr="00F100CD">
      <w:rPr>
        <w:b/>
        <w:i/>
        <w:sz w:val="18"/>
        <w:szCs w:val="18"/>
      </w:rPr>
      <w:t xml:space="preserve">Vicente López, Provincia de Buenos Aires </w:t>
    </w:r>
  </w:p>
  <w:p w:rsidR="00F100CD" w:rsidRPr="00F100CD" w:rsidRDefault="00F100CD" w:rsidP="00F100CD">
    <w:pPr>
      <w:pStyle w:val="Piedepgina"/>
      <w:rPr>
        <w:b/>
        <w:i/>
        <w:sz w:val="18"/>
        <w:szCs w:val="18"/>
      </w:rPr>
    </w:pPr>
    <w:r w:rsidRPr="00F100CD">
      <w:rPr>
        <w:b/>
        <w:i/>
        <w:sz w:val="18"/>
        <w:szCs w:val="18"/>
      </w:rPr>
      <w:t xml:space="preserve">TEL: (02944) 441405/930 </w:t>
    </w:r>
    <w:r w:rsidRPr="00F100CD">
      <w:rPr>
        <w:b/>
        <w:i/>
        <w:sz w:val="18"/>
        <w:szCs w:val="18"/>
      </w:rPr>
      <w:t xml:space="preserve">                                                                                  </w:t>
    </w:r>
    <w:r>
      <w:rPr>
        <w:b/>
        <w:i/>
        <w:sz w:val="18"/>
        <w:szCs w:val="18"/>
      </w:rPr>
      <w:t xml:space="preserve">             </w:t>
    </w:r>
    <w:r w:rsidRPr="00F100CD">
      <w:rPr>
        <w:b/>
        <w:i/>
        <w:sz w:val="18"/>
        <w:szCs w:val="18"/>
      </w:rPr>
      <w:t>TEL: 011 5431 1492/3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F7" w:rsidRDefault="003F16F7" w:rsidP="00F100CD">
      <w:pPr>
        <w:spacing w:after="0" w:line="240" w:lineRule="auto"/>
      </w:pPr>
      <w:r>
        <w:separator/>
      </w:r>
    </w:p>
  </w:footnote>
  <w:footnote w:type="continuationSeparator" w:id="0">
    <w:p w:rsidR="003F16F7" w:rsidRDefault="003F16F7" w:rsidP="00F10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CD" w:rsidRPr="00F100CD" w:rsidRDefault="00F100CD" w:rsidP="00F100CD">
    <w:pPr>
      <w:pStyle w:val="Encabezado"/>
      <w:jc w:val="center"/>
    </w:pPr>
    <w:r w:rsidRPr="00F100CD">
      <w:drawing>
        <wp:inline distT="0" distB="0" distL="0" distR="0" wp14:anchorId="55F6B04A" wp14:editId="73D5DEC5">
          <wp:extent cx="2838060" cy="695325"/>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37707" cy="695239"/>
                  </a:xfrm>
                  <a:prstGeom prst="rect">
                    <a:avLst/>
                  </a:prstGeom>
                </pic:spPr>
              </pic:pic>
            </a:graphicData>
          </a:graphic>
        </wp:inline>
      </w:drawing>
    </w:r>
  </w:p>
  <w:p w:rsidR="00F100CD" w:rsidRPr="00F100CD" w:rsidRDefault="00F100CD" w:rsidP="00F100CD">
    <w:pPr>
      <w:pStyle w:val="Encabezado"/>
      <w:jc w:val="center"/>
    </w:pPr>
    <w:r w:rsidRPr="00F100CD">
      <w:t>***</w:t>
    </w:r>
  </w:p>
  <w:p w:rsidR="00F100CD" w:rsidRPr="00F100CD" w:rsidRDefault="00F100CD" w:rsidP="00F100CD">
    <w:pPr>
      <w:pStyle w:val="Encabezado"/>
      <w:jc w:val="center"/>
    </w:pPr>
    <w:r w:rsidRPr="00F100CD">
      <w:rPr>
        <w:i/>
      </w:rPr>
      <w:t>San Carlos de Bariloche, Argentina</w:t>
    </w:r>
  </w:p>
  <w:p w:rsidR="00F100CD" w:rsidRDefault="00F100CD">
    <w:pPr>
      <w:pStyle w:val="Encabezado"/>
    </w:pPr>
  </w:p>
  <w:p w:rsidR="00F100CD" w:rsidRDefault="00F100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6C5"/>
    <w:multiLevelType w:val="hybridMultilevel"/>
    <w:tmpl w:val="6BF05A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4FB054C"/>
    <w:multiLevelType w:val="hybridMultilevel"/>
    <w:tmpl w:val="EB2A56F0"/>
    <w:lvl w:ilvl="0" w:tplc="2C0A000F">
      <w:start w:val="1"/>
      <w:numFmt w:val="decimal"/>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
    <w:nsid w:val="56F94BE3"/>
    <w:multiLevelType w:val="hybridMultilevel"/>
    <w:tmpl w:val="0C3CAA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D7E755F"/>
    <w:multiLevelType w:val="hybridMultilevel"/>
    <w:tmpl w:val="230628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F45139F"/>
    <w:multiLevelType w:val="hybridMultilevel"/>
    <w:tmpl w:val="FA5C47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58C063C"/>
    <w:multiLevelType w:val="hybridMultilevel"/>
    <w:tmpl w:val="9834AD50"/>
    <w:lvl w:ilvl="0" w:tplc="2C0A000F">
      <w:start w:val="1"/>
      <w:numFmt w:val="decimal"/>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6">
    <w:nsid w:val="748F64A7"/>
    <w:multiLevelType w:val="hybridMultilevel"/>
    <w:tmpl w:val="328A65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0F"/>
    <w:rsid w:val="003F16F7"/>
    <w:rsid w:val="00416945"/>
    <w:rsid w:val="004F5DD9"/>
    <w:rsid w:val="008D4C5E"/>
    <w:rsid w:val="00B73289"/>
    <w:rsid w:val="00BA05C7"/>
    <w:rsid w:val="00BB030F"/>
    <w:rsid w:val="00F100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30F"/>
    <w:rPr>
      <w:rFonts w:ascii="Tahoma" w:hAnsi="Tahoma" w:cs="Tahoma"/>
      <w:sz w:val="16"/>
      <w:szCs w:val="16"/>
    </w:rPr>
  </w:style>
  <w:style w:type="table" w:styleId="Tablaconcuadrcula">
    <w:name w:val="Table Grid"/>
    <w:basedOn w:val="Tablanormal"/>
    <w:uiPriority w:val="59"/>
    <w:rsid w:val="00BA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5DD9"/>
    <w:pPr>
      <w:ind w:left="720"/>
      <w:contextualSpacing/>
    </w:pPr>
  </w:style>
  <w:style w:type="character" w:styleId="Hipervnculo">
    <w:name w:val="Hyperlink"/>
    <w:basedOn w:val="Fuentedeprrafopredeter"/>
    <w:uiPriority w:val="99"/>
    <w:unhideWhenUsed/>
    <w:rsid w:val="00416945"/>
    <w:rPr>
      <w:color w:val="0000FF" w:themeColor="hyperlink"/>
      <w:u w:val="single"/>
    </w:rPr>
  </w:style>
  <w:style w:type="paragraph" w:styleId="Encabezado">
    <w:name w:val="header"/>
    <w:basedOn w:val="Normal"/>
    <w:link w:val="EncabezadoCar"/>
    <w:uiPriority w:val="99"/>
    <w:unhideWhenUsed/>
    <w:rsid w:val="00F100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0CD"/>
  </w:style>
  <w:style w:type="paragraph" w:styleId="Piedepgina">
    <w:name w:val="footer"/>
    <w:basedOn w:val="Normal"/>
    <w:link w:val="PiedepginaCar"/>
    <w:uiPriority w:val="99"/>
    <w:unhideWhenUsed/>
    <w:rsid w:val="00F100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0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030F"/>
    <w:rPr>
      <w:rFonts w:ascii="Tahoma" w:hAnsi="Tahoma" w:cs="Tahoma"/>
      <w:sz w:val="16"/>
      <w:szCs w:val="16"/>
    </w:rPr>
  </w:style>
  <w:style w:type="table" w:styleId="Tablaconcuadrcula">
    <w:name w:val="Table Grid"/>
    <w:basedOn w:val="Tablanormal"/>
    <w:uiPriority w:val="59"/>
    <w:rsid w:val="00BA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5DD9"/>
    <w:pPr>
      <w:ind w:left="720"/>
      <w:contextualSpacing/>
    </w:pPr>
  </w:style>
  <w:style w:type="character" w:styleId="Hipervnculo">
    <w:name w:val="Hyperlink"/>
    <w:basedOn w:val="Fuentedeprrafopredeter"/>
    <w:uiPriority w:val="99"/>
    <w:unhideWhenUsed/>
    <w:rsid w:val="00416945"/>
    <w:rPr>
      <w:color w:val="0000FF" w:themeColor="hyperlink"/>
      <w:u w:val="single"/>
    </w:rPr>
  </w:style>
  <w:style w:type="paragraph" w:styleId="Encabezado">
    <w:name w:val="header"/>
    <w:basedOn w:val="Normal"/>
    <w:link w:val="EncabezadoCar"/>
    <w:uiPriority w:val="99"/>
    <w:unhideWhenUsed/>
    <w:rsid w:val="00F100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0CD"/>
  </w:style>
  <w:style w:type="paragraph" w:styleId="Piedepgina">
    <w:name w:val="footer"/>
    <w:basedOn w:val="Normal"/>
    <w:link w:val="PiedepginaCar"/>
    <w:uiPriority w:val="99"/>
    <w:unhideWhenUsed/>
    <w:rsid w:val="00F100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20E4B-9EEC-4382-B886-1FE8793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Sistemas</cp:lastModifiedBy>
  <cp:revision>1</cp:revision>
  <dcterms:created xsi:type="dcterms:W3CDTF">2019-07-18T12:01:00Z</dcterms:created>
  <dcterms:modified xsi:type="dcterms:W3CDTF">2019-07-18T13:44:00Z</dcterms:modified>
</cp:coreProperties>
</file>